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9A" w:rsidRPr="00E83519" w:rsidRDefault="00E83519" w:rsidP="00E83519">
      <w:pPr>
        <w:pStyle w:val="Nzev"/>
      </w:pPr>
      <w:r>
        <w:t>Title</w:t>
      </w:r>
    </w:p>
    <w:p w:rsidR="003D01DD" w:rsidRDefault="002B72C4" w:rsidP="0093439A">
      <w:pPr>
        <w:pStyle w:val="Author"/>
      </w:pPr>
      <w:r>
        <w:t>Name Surname</w:t>
      </w:r>
      <w:r>
        <w:rPr>
          <w:rStyle w:val="Znakapoznpodarou"/>
          <w:b/>
          <w:i/>
        </w:rPr>
        <w:footnoteReference w:customMarkFollows="1" w:id="1"/>
        <w:t>*</w:t>
      </w:r>
      <w:r w:rsidRPr="002B72C4">
        <w:t xml:space="preserve"> – Name Surname</w:t>
      </w:r>
      <w:r>
        <w:rPr>
          <w:rStyle w:val="Znakapoznpodarou"/>
        </w:rPr>
        <w:footnoteReference w:customMarkFollows="1" w:id="2"/>
        <w:t>**</w:t>
      </w:r>
    </w:p>
    <w:p w:rsidR="00E01DCB" w:rsidRDefault="00216FD2" w:rsidP="00E01DCB">
      <w:pPr>
        <w:pStyle w:val="Abstract"/>
      </w:pPr>
      <w:r w:rsidRPr="00216FD2">
        <w:rPr>
          <w:rStyle w:val="AbstractHeader"/>
        </w:rPr>
        <w:t>Abstract.</w:t>
      </w:r>
      <w:r>
        <w:t xml:space="preserve"> </w:t>
      </w:r>
      <w:r w:rsidR="00C56F44" w:rsidRPr="006C26FD">
        <w:rPr>
          <w:color w:val="0070C0"/>
        </w:rPr>
        <w:t xml:space="preserve">Maximum: 15 </w:t>
      </w:r>
      <w:r w:rsidR="006C26FD">
        <w:rPr>
          <w:color w:val="0070C0"/>
        </w:rPr>
        <w:t>lines</w:t>
      </w:r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E01DCB" w:rsidRPr="00346DBB" w:rsidRDefault="00E01DCB" w:rsidP="00E01DCB">
      <w:pPr>
        <w:pStyle w:val="Abstract"/>
      </w:pPr>
      <w:r>
        <w:t xml:space="preserve">Second paragraph of the abstract. </w:t>
      </w:r>
      <w:r w:rsidR="00C56F44">
        <w:t xml:space="preserve">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E01DCB" w:rsidRDefault="00E01DCB" w:rsidP="00E01DCB">
      <w:pPr>
        <w:pStyle w:val="Keywords"/>
      </w:pPr>
      <w:r w:rsidRPr="00E01DCB">
        <w:rPr>
          <w:rStyle w:val="KeywordsJELHeader"/>
        </w:rPr>
        <w:t>Keywords:</w:t>
      </w:r>
      <w:r>
        <w:t xml:space="preserve"> l</w:t>
      </w:r>
      <w:r w:rsidRPr="00E01DCB">
        <w:t>orem</w:t>
      </w:r>
      <w:r>
        <w:t>,</w:t>
      </w:r>
      <w:r w:rsidRPr="00E01DCB">
        <w:t xml:space="preserve"> ipsum</w:t>
      </w:r>
      <w:r>
        <w:t>,</w:t>
      </w:r>
      <w:r w:rsidRPr="00E01DCB">
        <w:t xml:space="preserve"> dolor</w:t>
      </w:r>
      <w:r>
        <w:t>,</w:t>
      </w:r>
      <w:r w:rsidRPr="00E01DCB">
        <w:t xml:space="preserve"> sit</w:t>
      </w:r>
      <w:r>
        <w:t>,</w:t>
      </w:r>
      <w:r w:rsidRPr="00E01DCB">
        <w:t xml:space="preserve"> </w:t>
      </w:r>
      <w:proofErr w:type="spellStart"/>
      <w:r w:rsidRPr="00E01DCB">
        <w:t>amet</w:t>
      </w:r>
      <w:proofErr w:type="spellEnd"/>
      <w:r>
        <w:t>.</w:t>
      </w:r>
    </w:p>
    <w:p w:rsidR="00E01DCB" w:rsidRDefault="00E01DCB" w:rsidP="00363B76">
      <w:pPr>
        <w:pStyle w:val="Classifications"/>
      </w:pPr>
      <w:r>
        <w:rPr>
          <w:rStyle w:val="KeywordsJELHeader"/>
        </w:rPr>
        <w:t xml:space="preserve">JEL Classification: </w:t>
      </w:r>
      <w:r w:rsidR="002B72C4">
        <w:t>B22</w:t>
      </w:r>
    </w:p>
    <w:p w:rsidR="00C56F44" w:rsidRPr="00C56F44" w:rsidRDefault="00C56F44" w:rsidP="00C56F44"/>
    <w:p w:rsidR="00C56F44" w:rsidRPr="00C56F44" w:rsidRDefault="00C56F44" w:rsidP="006C26FD">
      <w:pPr>
        <w:rPr>
          <w:color w:val="FF0000"/>
        </w:rPr>
      </w:pPr>
      <w:r w:rsidRPr="00C56F44">
        <w:rPr>
          <w:color w:val="FF0000"/>
        </w:rPr>
        <w:t>Maximum of the contribution</w:t>
      </w:r>
      <w:r>
        <w:rPr>
          <w:color w:val="FF0000"/>
        </w:rPr>
        <w:t xml:space="preserve">: </w:t>
      </w:r>
      <w:r w:rsidR="00A02F6A">
        <w:rPr>
          <w:color w:val="FF0000"/>
        </w:rPr>
        <w:t>8</w:t>
      </w:r>
      <w:r>
        <w:rPr>
          <w:color w:val="FF0000"/>
        </w:rPr>
        <w:t xml:space="preserve"> pages </w:t>
      </w:r>
      <w:r w:rsidR="006C26FD">
        <w:rPr>
          <w:color w:val="FF0000"/>
        </w:rPr>
        <w:t>(</w:t>
      </w:r>
      <w:r>
        <w:rPr>
          <w:color w:val="FF0000"/>
        </w:rPr>
        <w:t>including abstract</w:t>
      </w:r>
      <w:r w:rsidR="006C26FD">
        <w:rPr>
          <w:color w:val="FF0000"/>
        </w:rPr>
        <w:t>)</w:t>
      </w:r>
      <w:r>
        <w:rPr>
          <w:color w:val="FF0000"/>
        </w:rPr>
        <w:t>.</w:t>
      </w:r>
    </w:p>
    <w:p w:rsidR="008D70B3" w:rsidRDefault="006C26FD" w:rsidP="005A428E">
      <w:pPr>
        <w:pStyle w:val="Nadpis1"/>
      </w:pPr>
      <w:r>
        <w:t>Introduction (t</w:t>
      </w:r>
      <w:r w:rsidR="008D70B3">
        <w:t xml:space="preserve">itle of the </w:t>
      </w:r>
      <w:r w:rsidR="00CF49BF" w:rsidRPr="00CF49BF">
        <w:t>chapter of 1st level</w:t>
      </w:r>
      <w:r>
        <w:t>)</w:t>
      </w:r>
    </w:p>
    <w:p w:rsidR="008D70B3" w:rsidRDefault="008D70B3" w:rsidP="00185A7A">
      <w:pPr>
        <w:pStyle w:val="Zkladntext"/>
      </w:pPr>
      <w:r>
        <w:t xml:space="preserve">First paragraph of the section. </w:t>
      </w:r>
      <w:r w:rsidR="00C56F44">
        <w:t xml:space="preserve">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8D70B3" w:rsidRDefault="008D70B3" w:rsidP="00185A7A">
      <w:pPr>
        <w:pStyle w:val="Zkladntext"/>
      </w:pPr>
      <w:r>
        <w:t>Second and following paragraphs of the text</w:t>
      </w:r>
      <w:r w:rsidR="0026423F">
        <w:t xml:space="preserve">. </w:t>
      </w:r>
      <w:r w:rsidR="00C56F44">
        <w:t xml:space="preserve">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B679B1" w:rsidRPr="008D70B3" w:rsidRDefault="00B679B1" w:rsidP="00B679B1">
      <w:pPr>
        <w:pStyle w:val="Nadpis2"/>
      </w:pPr>
      <w:r>
        <w:t>Title of the sub</w:t>
      </w:r>
      <w:r w:rsidR="00CF49BF">
        <w:t>chapter (</w:t>
      </w:r>
      <w:r w:rsidR="00CF49BF" w:rsidRPr="00CF49BF">
        <w:t>2nd level</w:t>
      </w:r>
      <w:r w:rsidR="00CF49BF">
        <w:t>)</w:t>
      </w:r>
    </w:p>
    <w:p w:rsidR="00550358" w:rsidRDefault="00C56F44" w:rsidP="00550358">
      <w:pPr>
        <w:pStyle w:val="Zkladntext"/>
      </w:pPr>
      <w:r>
        <w:t xml:space="preserve">First paragraph of the section.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C56F44" w:rsidRDefault="00C56F44" w:rsidP="00185A7A">
      <w:pPr>
        <w:pStyle w:val="Zkladntext"/>
      </w:pPr>
      <w:r>
        <w:t xml:space="preserve">Second and following paragraphs of the text.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5A428E" w:rsidRDefault="005A428E" w:rsidP="005A428E">
      <w:pPr>
        <w:pStyle w:val="Nadpis3"/>
      </w:pPr>
      <w:r>
        <w:t>Other sub</w:t>
      </w:r>
      <w:r w:rsidR="00EB1BDE">
        <w:t>heading</w:t>
      </w:r>
      <w:r>
        <w:t xml:space="preserve"> </w:t>
      </w:r>
      <w:r w:rsidR="00EB1BDE">
        <w:t>(not numbered)</w:t>
      </w:r>
    </w:p>
    <w:p w:rsidR="00C56F44" w:rsidRDefault="00C56F44" w:rsidP="00185A7A">
      <w:pPr>
        <w:pStyle w:val="Zkladntext"/>
      </w:pPr>
      <w:r>
        <w:t xml:space="preserve">First paragraph of the section.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C56F44" w:rsidRDefault="00C56F44" w:rsidP="00185A7A">
      <w:pPr>
        <w:pStyle w:val="Zkladntext"/>
      </w:pPr>
      <w:r>
        <w:t xml:space="preserve">Second and following paragraphs of the text.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EB1BDE" w:rsidRDefault="0026423F" w:rsidP="0026423F">
      <w:pPr>
        <w:pStyle w:val="Nadpis3"/>
      </w:pPr>
      <w:r w:rsidRPr="0026423F">
        <w:t>Ordered and unordered lists</w:t>
      </w:r>
    </w:p>
    <w:p w:rsidR="0026423F" w:rsidRDefault="00185A7A" w:rsidP="00185A7A">
      <w:pPr>
        <w:pStyle w:val="Zkladn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</w:t>
      </w:r>
      <w:r w:rsidR="00F367EA">
        <w:t xml:space="preserve">Unordered </w:t>
      </w:r>
      <w:r w:rsidR="0026423F">
        <w:t>list:</w:t>
      </w:r>
    </w:p>
    <w:p w:rsidR="0026423F" w:rsidRDefault="0026423F" w:rsidP="0026423F">
      <w:pPr>
        <w:pStyle w:val="Seznamsodrkami"/>
      </w:pPr>
      <w:r>
        <w:t xml:space="preserve">text </w:t>
      </w:r>
      <w:proofErr w:type="spellStart"/>
      <w:r>
        <w:t>text</w:t>
      </w:r>
      <w:proofErr w:type="spellEnd"/>
      <w:r w:rsidR="00C56F44">
        <w:t>,</w:t>
      </w:r>
    </w:p>
    <w:p w:rsidR="0026423F" w:rsidRDefault="00C56F44" w:rsidP="0026423F">
      <w:pPr>
        <w:pStyle w:val="Seznamsodrkami"/>
      </w:pPr>
      <w:r>
        <w:t xml:space="preserve">text </w:t>
      </w:r>
      <w:proofErr w:type="spellStart"/>
      <w:r>
        <w:t>text</w:t>
      </w:r>
      <w:proofErr w:type="spellEnd"/>
      <w:r>
        <w:t>,</w:t>
      </w:r>
    </w:p>
    <w:p w:rsidR="00EB5C5F" w:rsidRDefault="00C56F44" w:rsidP="00BE38F4">
      <w:pPr>
        <w:pStyle w:val="Seznamsodrkami"/>
        <w:tabs>
          <w:tab w:val="num" w:pos="540"/>
        </w:tabs>
        <w:ind w:left="600"/>
      </w:pPr>
      <w:r>
        <w:t xml:space="preserve">text </w:t>
      </w:r>
      <w:proofErr w:type="spellStart"/>
      <w:r>
        <w:t>text</w:t>
      </w:r>
      <w:proofErr w:type="spellEnd"/>
      <w:r>
        <w:t>,</w:t>
      </w:r>
    </w:p>
    <w:p w:rsidR="00F367EA" w:rsidRDefault="00C56F44" w:rsidP="0026423F">
      <w:pPr>
        <w:pStyle w:val="Seznamsodrkami"/>
      </w:pPr>
      <w:r>
        <w:t xml:space="preserve">text </w:t>
      </w:r>
      <w:proofErr w:type="spellStart"/>
      <w:r>
        <w:t>text</w:t>
      </w:r>
      <w:proofErr w:type="spellEnd"/>
      <w:r w:rsidR="00F367EA">
        <w:t>.</w:t>
      </w:r>
    </w:p>
    <w:p w:rsidR="00EB5C5F" w:rsidRDefault="00F367EA" w:rsidP="00525330">
      <w:pPr>
        <w:pStyle w:val="Zkladntext"/>
      </w:pPr>
      <w:r>
        <w:t xml:space="preserve">Next paragraph is </w:t>
      </w:r>
      <w:r w:rsidR="00EB5C5F">
        <w:t>indented as an ordinary (not first) paragraph.</w:t>
      </w:r>
      <w:r w:rsidR="00525330">
        <w:t xml:space="preserve">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</w:t>
      </w:r>
      <w:r w:rsidR="00EB5C5F">
        <w:t>Ordered list:</w:t>
      </w:r>
    </w:p>
    <w:p w:rsidR="00EB5C5F" w:rsidRDefault="00EB5C5F" w:rsidP="00EB5C5F">
      <w:pPr>
        <w:pStyle w:val="slovanseznam"/>
      </w:pPr>
      <w:r>
        <w:t>first item of  the list;</w:t>
      </w:r>
    </w:p>
    <w:p w:rsidR="00EB5C5F" w:rsidRDefault="00EB5C5F" w:rsidP="00EB5C5F">
      <w:pPr>
        <w:pStyle w:val="slovanseznam"/>
      </w:pPr>
      <w:r>
        <w:t>second item with a sublist:</w:t>
      </w:r>
    </w:p>
    <w:p w:rsidR="00BE38F4" w:rsidRDefault="00EB5C5F" w:rsidP="00BE38F4">
      <w:pPr>
        <w:pStyle w:val="slovanseznam"/>
        <w:numPr>
          <w:ilvl w:val="1"/>
          <w:numId w:val="1"/>
        </w:numPr>
        <w:ind w:left="657" w:hanging="357"/>
      </w:pPr>
      <w:r>
        <w:t>first item in the sublist,</w:t>
      </w:r>
    </w:p>
    <w:p w:rsidR="00EB5C5F" w:rsidRDefault="00EB5C5F" w:rsidP="00BE38F4">
      <w:pPr>
        <w:pStyle w:val="slovanseznam"/>
        <w:numPr>
          <w:ilvl w:val="1"/>
          <w:numId w:val="1"/>
        </w:numPr>
        <w:ind w:left="657" w:hanging="357"/>
      </w:pPr>
      <w:r>
        <w:t>second item in the sublist,</w:t>
      </w:r>
    </w:p>
    <w:p w:rsidR="00EB5C5F" w:rsidRDefault="00EB5C5F" w:rsidP="00EB5C5F">
      <w:pPr>
        <w:pStyle w:val="slovanseznam"/>
      </w:pPr>
      <w:r>
        <w:t>parent list continued.</w:t>
      </w:r>
    </w:p>
    <w:p w:rsidR="00EB5C5F" w:rsidRDefault="00EB5C5F" w:rsidP="00525330">
      <w:pPr>
        <w:pStyle w:val="Zkladntext"/>
      </w:pPr>
      <w:r>
        <w:t>Ordered and unordered lists may be freely combined.</w:t>
      </w:r>
      <w:r w:rsidR="00525330">
        <w:t xml:space="preserve">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>.</w:t>
      </w:r>
    </w:p>
    <w:p w:rsidR="00EB5C5F" w:rsidRDefault="005618C6" w:rsidP="00EB5C5F">
      <w:pPr>
        <w:pStyle w:val="Nadpis3"/>
      </w:pPr>
      <w:r>
        <w:lastRenderedPageBreak/>
        <w:t>F</w:t>
      </w:r>
      <w:r w:rsidR="00EB5C5F">
        <w:t>igure</w:t>
      </w:r>
      <w:r>
        <w:t>s</w:t>
      </w:r>
    </w:p>
    <w:p w:rsidR="00550358" w:rsidRPr="00550358" w:rsidRDefault="00F9412C" w:rsidP="00550358">
      <w:pPr>
        <w:pStyle w:val="Zkladntext"/>
      </w:pPr>
      <w:r w:rsidRPr="00525330">
        <w:t>Figures</w:t>
      </w:r>
      <w:r>
        <w:t xml:space="preserve"> have to be centered, numbered continuously, and referenced in the text.</w:t>
      </w:r>
      <w:r w:rsidR="00791CE2">
        <w:t xml:space="preserve"> </w:t>
      </w:r>
      <w:r w:rsidR="005618C6">
        <w:t>Please, use only black or white colors.</w:t>
      </w:r>
    </w:p>
    <w:p w:rsidR="00550358" w:rsidRDefault="00550358" w:rsidP="00550358">
      <w:pPr>
        <w:pStyle w:val="Titulek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C06FC">
        <w:rPr>
          <w:noProof/>
        </w:rPr>
        <w:t>1</w:t>
      </w:r>
      <w:r>
        <w:fldChar w:fldCharType="end"/>
      </w:r>
      <w:r>
        <w:t>: Heading of the graph</w:t>
      </w:r>
    </w:p>
    <w:p w:rsidR="005618C6" w:rsidRDefault="005618C6" w:rsidP="005618C6">
      <w:pPr>
        <w:pStyle w:val="Odstavecpodgraf"/>
      </w:pPr>
      <w:r>
        <w:rPr>
          <w:noProof/>
          <w:lang w:val="cs-CZ"/>
        </w:rPr>
        <w:drawing>
          <wp:inline distT="0" distB="0" distL="0" distR="0">
            <wp:extent cx="3993343" cy="2655736"/>
            <wp:effectExtent l="19050" t="0" r="26207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358" w:rsidRDefault="005618C6" w:rsidP="00550358">
      <w:pPr>
        <w:pStyle w:val="Odstavecpodgraf"/>
      </w:pPr>
      <w:r>
        <w:t>Source: Data source.</w:t>
      </w:r>
    </w:p>
    <w:p w:rsidR="00E65AA9" w:rsidRDefault="005618C6" w:rsidP="00E65AA9">
      <w:pPr>
        <w:pStyle w:val="Nadpis3"/>
      </w:pPr>
      <w:r>
        <w:t>T</w:t>
      </w:r>
      <w:r w:rsidR="00E65AA9">
        <w:t>able</w:t>
      </w:r>
      <w:r>
        <w:t>s</w:t>
      </w:r>
    </w:p>
    <w:p w:rsidR="006A563B" w:rsidRPr="005618C6" w:rsidRDefault="00E65AA9" w:rsidP="006A563B">
      <w:pPr>
        <w:pStyle w:val="Zkladntext"/>
      </w:pPr>
      <w:r w:rsidRPr="00E65AA9">
        <w:t>Tables</w:t>
      </w:r>
      <w:r>
        <w:t xml:space="preserve"> have to be centered, numbered continuously, and referenced in the text. Please, u</w:t>
      </w:r>
      <w:r w:rsidR="005618C6">
        <w:t>se caption format as given here</w:t>
      </w:r>
      <w:r>
        <w:t>.</w:t>
      </w:r>
    </w:p>
    <w:p w:rsidR="006A563B" w:rsidRDefault="006A563B" w:rsidP="006A563B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C06FC">
        <w:rPr>
          <w:noProof/>
        </w:rPr>
        <w:t>1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E65AA9" w:rsidTr="006C26FD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5618C6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="006D67D4"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A82A32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="006D67D4"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A82A32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="006D67D4"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A82A32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="006D67D4" w:rsidRPr="006D67D4">
              <w:rPr>
                <w:rStyle w:val="Siln"/>
              </w:rPr>
              <w:t>um</w:t>
            </w:r>
          </w:p>
        </w:tc>
      </w:tr>
      <w:tr w:rsidR="00E65AA9" w:rsidTr="006C26FD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5618C6" w:rsidP="005618C6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5618C6" w:rsidP="008045BB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</w:tr>
      <w:tr w:rsidR="00E65AA9" w:rsidTr="006C26FD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5618C6" w:rsidP="005618C6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5618C6" w:rsidP="008045BB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5618C6" w:rsidRDefault="005618C6" w:rsidP="005618C6">
      <w:pPr>
        <w:pStyle w:val="Odstavecpodgraf"/>
      </w:pPr>
      <w:r>
        <w:t>Source: Data source.</w:t>
      </w:r>
    </w:p>
    <w:p w:rsidR="006D67D4" w:rsidRDefault="005618C6" w:rsidP="006D67D4">
      <w:pPr>
        <w:pStyle w:val="Nadpis3"/>
      </w:pPr>
      <w:r>
        <w:t>E</w:t>
      </w:r>
      <w:r w:rsidR="006D67D4">
        <w:t>quation</w:t>
      </w:r>
      <w:r>
        <w:t>s</w:t>
      </w:r>
    </w:p>
    <w:p w:rsidR="006D67D4" w:rsidRDefault="00844CA5" w:rsidP="00525330">
      <w:pPr>
        <w:pStyle w:val="Zkladntext"/>
      </w:pPr>
      <w:r>
        <w:t>Equations</w:t>
      </w:r>
      <w:r w:rsidR="008045BB">
        <w:t xml:space="preserve"> have to be centered and</w:t>
      </w:r>
      <w:r>
        <w:t xml:space="preserve"> right-numbered continuously</w:t>
      </w:r>
      <w:r w:rsidR="004C197D">
        <w:t>.</w:t>
      </w:r>
      <w:r w:rsidR="00EB1B9F">
        <w:t xml:space="preserve"> Please use 10pt sized font.</w:t>
      </w:r>
    </w:p>
    <w:tbl>
      <w:tblPr>
        <w:tblW w:w="8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6"/>
        <w:gridCol w:w="283"/>
        <w:gridCol w:w="6097"/>
        <w:gridCol w:w="426"/>
      </w:tblGrid>
      <w:tr w:rsidR="006C26FD" w:rsidTr="006C26FD">
        <w:trPr>
          <w:trHeight w:val="246"/>
          <w:jc w:val="center"/>
        </w:trPr>
        <w:tc>
          <w:tcPr>
            <w:tcW w:w="7653" w:type="dxa"/>
            <w:gridSpan w:val="4"/>
            <w:vAlign w:val="center"/>
          </w:tcPr>
          <w:p w:rsidR="006C26FD" w:rsidRDefault="006C26FD" w:rsidP="00FD519C">
            <w:r w:rsidRPr="00EB1B9F">
              <w:rPr>
                <w:position w:val="-26"/>
              </w:rPr>
              <w:object w:dxaOrig="21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95pt;height:29.9pt" o:ole="">
                  <v:imagedata r:id="rId9" o:title=""/>
                </v:shape>
                <o:OLEObject Type="Embed" ProgID="Equation.3" ShapeID="_x0000_i1025" DrawAspect="Content" ObjectID="_1610894990" r:id="rId10"/>
              </w:object>
            </w:r>
            <w:r>
              <w:t>,</w:t>
            </w:r>
          </w:p>
        </w:tc>
        <w:tc>
          <w:tcPr>
            <w:tcW w:w="426" w:type="dxa"/>
            <w:vAlign w:val="center"/>
          </w:tcPr>
          <w:p w:rsidR="006C26FD" w:rsidRDefault="006C26FD" w:rsidP="00FD519C">
            <w:r>
              <w:t>(1)</w:t>
            </w:r>
          </w:p>
        </w:tc>
      </w:tr>
      <w:tr w:rsidR="006C26FD" w:rsidTr="006C26FD">
        <w:trPr>
          <w:jc w:val="center"/>
        </w:trPr>
        <w:tc>
          <w:tcPr>
            <w:tcW w:w="847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where</w:t>
            </w:r>
          </w:p>
        </w:tc>
        <w:tc>
          <w:tcPr>
            <w:tcW w:w="426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X</w:t>
            </w:r>
          </w:p>
        </w:tc>
        <w:tc>
          <w:tcPr>
            <w:tcW w:w="283" w:type="dxa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=</w:t>
            </w:r>
          </w:p>
        </w:tc>
        <w:tc>
          <w:tcPr>
            <w:tcW w:w="6523" w:type="dxa"/>
            <w:gridSpan w:val="2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quantity,</w:t>
            </w:r>
          </w:p>
        </w:tc>
      </w:tr>
      <w:tr w:rsidR="006C26FD" w:rsidTr="006C26FD">
        <w:trPr>
          <w:jc w:val="center"/>
        </w:trPr>
        <w:tc>
          <w:tcPr>
            <w:tcW w:w="847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EX</w:t>
            </w:r>
          </w:p>
        </w:tc>
        <w:tc>
          <w:tcPr>
            <w:tcW w:w="283" w:type="dxa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=</w:t>
            </w:r>
          </w:p>
        </w:tc>
        <w:tc>
          <w:tcPr>
            <w:tcW w:w="6523" w:type="dxa"/>
            <w:gridSpan w:val="2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quantity.</w:t>
            </w:r>
          </w:p>
        </w:tc>
      </w:tr>
    </w:tbl>
    <w:p w:rsidR="006C26FD" w:rsidRDefault="006C26FD" w:rsidP="006C26FD">
      <w:pPr>
        <w:pStyle w:val="Nadpis1"/>
      </w:pPr>
      <w:r>
        <w:t>Conclusions</w:t>
      </w:r>
    </w:p>
    <w:p w:rsidR="000C06FC" w:rsidRDefault="000C06FC" w:rsidP="000C06FC">
      <w:pPr>
        <w:pStyle w:val="Nadpis3"/>
      </w:pPr>
      <w:r>
        <w:t>Figures</w:t>
      </w:r>
    </w:p>
    <w:p w:rsidR="000C06FC" w:rsidRPr="00550358" w:rsidRDefault="000C06FC" w:rsidP="000C06FC">
      <w:pPr>
        <w:pStyle w:val="Zkladntext"/>
      </w:pPr>
      <w:r w:rsidRPr="00525330">
        <w:t>Figures</w:t>
      </w:r>
      <w:r>
        <w:t xml:space="preserve"> have to be centered, numbered continuously, and referenced in the text. Please, use only black or white colors.</w:t>
      </w:r>
    </w:p>
    <w:p w:rsidR="000C06FC" w:rsidRDefault="000C06FC" w:rsidP="000C06FC">
      <w:pPr>
        <w:pStyle w:val="Titulek"/>
        <w:keepNext/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Heading of the graph</w:t>
      </w:r>
    </w:p>
    <w:p w:rsidR="000C06FC" w:rsidRDefault="000C06FC" w:rsidP="000C06FC">
      <w:pPr>
        <w:pStyle w:val="Odstavecpodgraf"/>
      </w:pPr>
      <w:r>
        <w:rPr>
          <w:noProof/>
          <w:lang w:val="cs-CZ"/>
        </w:rPr>
        <w:drawing>
          <wp:inline distT="0" distB="0" distL="0" distR="0" wp14:anchorId="09110F5F" wp14:editId="6E876DB3">
            <wp:extent cx="3993343" cy="2655736"/>
            <wp:effectExtent l="19050" t="0" r="26207" b="0"/>
            <wp:docPr id="1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0C06FC">
      <w:pPr>
        <w:pStyle w:val="Nadpis3"/>
      </w:pPr>
      <w:r>
        <w:t>Tables</w:t>
      </w:r>
    </w:p>
    <w:p w:rsidR="000C06FC" w:rsidRPr="005618C6" w:rsidRDefault="000C06FC" w:rsidP="000C06FC">
      <w:pPr>
        <w:pStyle w:val="Zkladntext"/>
      </w:pPr>
      <w:r w:rsidRPr="00E65AA9">
        <w:t>Tables</w:t>
      </w:r>
      <w:r>
        <w:t xml:space="preserve"> have to be centered, numbered continuously, and referenced in the text. Please, use caption format as given here.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Pr="000C06FC" w:rsidRDefault="000C06FC" w:rsidP="00141749">
      <w:pPr>
        <w:pStyle w:val="Odstavecpodgraf"/>
      </w:pPr>
      <w:r>
        <w:t>Source: Data source.</w:t>
      </w:r>
    </w:p>
    <w:p w:rsidR="0052403C" w:rsidRDefault="0052403C" w:rsidP="0052403C">
      <w:pPr>
        <w:pStyle w:val="Acknowledgements"/>
      </w:pPr>
      <w:r>
        <w:t>Acknowledgements</w:t>
      </w:r>
    </w:p>
    <w:p w:rsidR="003A26A7" w:rsidRDefault="0052403C" w:rsidP="00525330">
      <w:pPr>
        <w:pStyle w:val="Zkladntext"/>
      </w:pPr>
      <w:r>
        <w:t xml:space="preserve">Supporting people and institutions </w:t>
      </w:r>
      <w:r w:rsidR="00B77C83">
        <w:t xml:space="preserve">(including Science Foundations), for example: </w:t>
      </w:r>
      <w:r w:rsidR="00B77C83" w:rsidRPr="00B77C83">
        <w:t xml:space="preserve">The </w:t>
      </w:r>
      <w:r w:rsidR="00B77C83">
        <w:t>contribution</w:t>
      </w:r>
      <w:r w:rsidR="00B77C83" w:rsidRPr="00B77C83">
        <w:t xml:space="preserve"> is processed as an output of a research project </w:t>
      </w:r>
      <w:r w:rsidR="00B77C83" w:rsidRPr="00B77C83">
        <w:rPr>
          <w:i/>
        </w:rPr>
        <w:t>Name of the project</w:t>
      </w:r>
      <w:r w:rsidR="00B77C83" w:rsidRPr="00B77C83">
        <w:t xml:space="preserve"> registered by the </w:t>
      </w:r>
      <w:r w:rsidR="00B77C83" w:rsidRPr="00B77C83">
        <w:rPr>
          <w:i/>
        </w:rPr>
        <w:t>name of the agency/ministry</w:t>
      </w:r>
      <w:r w:rsidR="00B77C83">
        <w:t xml:space="preserve"> </w:t>
      </w:r>
      <w:r w:rsidR="00B77C83" w:rsidRPr="00B77C83">
        <w:t xml:space="preserve">under the registration number </w:t>
      </w:r>
      <w:r w:rsidR="00B77C83" w:rsidRPr="00B77C83">
        <w:rPr>
          <w:i/>
        </w:rPr>
        <w:t>0000</w:t>
      </w:r>
      <w:r w:rsidR="00B77C83" w:rsidRPr="00B77C83">
        <w:t>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525330">
      <w:pPr>
        <w:pStyle w:val="Zkladntext"/>
      </w:pPr>
    </w:p>
    <w:p w:rsidR="0052403C" w:rsidRDefault="0052403C" w:rsidP="0052403C">
      <w:pPr>
        <w:pStyle w:val="ReferencesHeader"/>
      </w:pPr>
      <w:r>
        <w:t>References</w:t>
      </w:r>
      <w:r w:rsidR="00B77C83">
        <w:t xml:space="preserve"> </w:t>
      </w:r>
      <w:r w:rsidR="00B77C83" w:rsidRPr="006C26FD">
        <w:rPr>
          <w:color w:val="0070C0"/>
        </w:rPr>
        <w:t>(alphabetically</w:t>
      </w:r>
      <w:r w:rsidR="009112D0">
        <w:rPr>
          <w:color w:val="0070C0"/>
        </w:rPr>
        <w:t>, reference style ČSN ISO 690</w:t>
      </w:r>
      <w:r w:rsidR="00B77C83" w:rsidRPr="006C26FD">
        <w:rPr>
          <w:color w:val="0070C0"/>
        </w:rPr>
        <w:t>)</w:t>
      </w:r>
    </w:p>
    <w:p w:rsidR="00FE79B8" w:rsidRDefault="00B618DE" w:rsidP="00FE79B8">
      <w:pPr>
        <w:pStyle w:val="Zkladntext"/>
      </w:pPr>
      <w:r w:rsidRPr="00D53834">
        <w:t xml:space="preserve">KEEN, Michael and SLEMROD, Joel, 2016. </w:t>
      </w:r>
      <w:r w:rsidRPr="00D53834">
        <w:rPr>
          <w:i/>
          <w:iCs/>
        </w:rPr>
        <w:t>Optimal Tax Administration</w:t>
      </w:r>
      <w:r w:rsidRPr="00D53834">
        <w:t xml:space="preserve"> [online]. Working Paper. National Bureau of Economic Research. [Accessed 10 January 2019]. Available from: </w:t>
      </w:r>
      <w:hyperlink r:id="rId12" w:history="1">
        <w:r w:rsidR="00FE79B8" w:rsidRPr="008F7CE2">
          <w:rPr>
            <w:rStyle w:val="Hypertextovodkaz"/>
          </w:rPr>
          <w:t>http://www.nber.org/papers/w22408</w:t>
        </w:r>
      </w:hyperlink>
    </w:p>
    <w:p w:rsidR="00FE79B8" w:rsidRDefault="00B618DE" w:rsidP="00FE79B8">
      <w:pPr>
        <w:pStyle w:val="Zkladntext"/>
      </w:pPr>
      <w:r w:rsidRPr="00D53834">
        <w:t xml:space="preserve">KEEN, Michael, 2018. Bank Taxes, Bailouts and Financial Crises. [online]. March 2018. [Accessed 10 January 2019]. Available from: </w:t>
      </w:r>
      <w:hyperlink r:id="rId13" w:history="1">
        <w:r w:rsidR="00FE79B8" w:rsidRPr="008F7CE2">
          <w:rPr>
            <w:rStyle w:val="Hypertextovodkaz"/>
          </w:rPr>
          <w:t>https://www.ingentaconnect.com/contentone/mohr/fa/2018/00000074/00000001/art00002</w:t>
        </w:r>
      </w:hyperlink>
    </w:p>
    <w:p w:rsidR="00FE79B8" w:rsidRDefault="00B618DE" w:rsidP="00FE79B8">
      <w:pPr>
        <w:pStyle w:val="Zkladntext"/>
      </w:pPr>
      <w:r w:rsidRPr="00D53834">
        <w:t xml:space="preserve">KLAZAR, Stanislav, SEDMIHRADSKÝ, Milan and VANČUROVÁ, Alena, 2001. Returns of Education in the Czech Republic. </w:t>
      </w:r>
      <w:r w:rsidRPr="00D53834">
        <w:rPr>
          <w:i/>
          <w:iCs/>
        </w:rPr>
        <w:t>International Tax and Public Finance</w:t>
      </w:r>
      <w:r w:rsidRPr="00D53834">
        <w:t>. 1 August 2001. Vol. 8, no. 4, p. 609–620. DOI 10.1023/A:1011232805929</w:t>
      </w:r>
    </w:p>
    <w:p w:rsidR="00D57E97" w:rsidRPr="00D57E97" w:rsidRDefault="00D57E97" w:rsidP="00D57E97">
      <w:pPr>
        <w:pStyle w:val="Zkladntext"/>
      </w:pPr>
      <w:r w:rsidRPr="00D57E97">
        <w:t>PAVEL, Jan, KLAZAR, Stanislav and ŠUMPÍKOVÁ, Markéta, 2003. Ekonometrická analýza regionální absorpce veřejných výdajových programů v České republice [</w:t>
      </w:r>
      <w:proofErr w:type="spellStart"/>
      <w:r w:rsidRPr="00D57E97">
        <w:t>Econometric</w:t>
      </w:r>
      <w:proofErr w:type="spellEnd"/>
      <w:r w:rsidRPr="00D57E97">
        <w:t xml:space="preserve"> </w:t>
      </w:r>
      <w:proofErr w:type="spellStart"/>
      <w:r w:rsidRPr="00D57E97">
        <w:t>Analysis</w:t>
      </w:r>
      <w:proofErr w:type="spellEnd"/>
      <w:r w:rsidRPr="00D57E97">
        <w:t xml:space="preserve"> of </w:t>
      </w:r>
      <w:proofErr w:type="spellStart"/>
      <w:r w:rsidRPr="00D57E97">
        <w:t>Regional</w:t>
      </w:r>
      <w:proofErr w:type="spellEnd"/>
      <w:r w:rsidRPr="00D57E97">
        <w:t xml:space="preserve"> </w:t>
      </w:r>
      <w:proofErr w:type="spellStart"/>
      <w:r w:rsidRPr="00D57E97">
        <w:t>Absorption</w:t>
      </w:r>
      <w:proofErr w:type="spellEnd"/>
      <w:r w:rsidRPr="00D57E97">
        <w:t xml:space="preserve">]. In: </w:t>
      </w:r>
      <w:r w:rsidRPr="00D57E97">
        <w:rPr>
          <w:i/>
        </w:rPr>
        <w:t xml:space="preserve">MALACH, Antonín. Podpora podnikání v regionech ČR </w:t>
      </w:r>
      <w:proofErr w:type="gramStart"/>
      <w:r w:rsidRPr="00D57E97">
        <w:rPr>
          <w:i/>
        </w:rPr>
        <w:t>a</w:t>
      </w:r>
      <w:proofErr w:type="gramEnd"/>
      <w:r w:rsidRPr="00D57E97">
        <w:rPr>
          <w:i/>
        </w:rPr>
        <w:t xml:space="preserve"> EU.</w:t>
      </w:r>
      <w:r w:rsidRPr="00D57E97">
        <w:t xml:space="preserve"> Brno: Masarykova univerzita v Brně. 13 </w:t>
      </w:r>
      <w:proofErr w:type="spellStart"/>
      <w:r w:rsidRPr="00D57E97">
        <w:t>April</w:t>
      </w:r>
      <w:proofErr w:type="spellEnd"/>
      <w:r w:rsidRPr="00D57E97">
        <w:t xml:space="preserve"> 2003. p. 129–133. ISBN 80-210-3259-6.</w:t>
      </w:r>
    </w:p>
    <w:p w:rsidR="004458FC" w:rsidRDefault="004458FC" w:rsidP="00FE79B8">
      <w:pPr>
        <w:pStyle w:val="Zkladntext"/>
      </w:pPr>
    </w:p>
    <w:p w:rsidR="00FE79B8" w:rsidRDefault="00FE79B8" w:rsidP="00FE79B8">
      <w:pPr>
        <w:pStyle w:val="Zkladntext"/>
      </w:pPr>
    </w:p>
    <w:p w:rsidR="00FE79B8" w:rsidRDefault="00FE79B8" w:rsidP="00FE79B8">
      <w:pPr>
        <w:pStyle w:val="Zkladntext"/>
      </w:pPr>
      <w:bookmarkStart w:id="0" w:name="_GoBack"/>
      <w:r>
        <w:t>Recommend</w:t>
      </w:r>
      <w:r w:rsidR="00B61A74">
        <w:t>ed</w:t>
      </w:r>
      <w:r>
        <w:t xml:space="preserve"> software</w:t>
      </w:r>
      <w:r w:rsidR="00D57E97">
        <w:t xml:space="preserve"> ZOTERO</w:t>
      </w:r>
    </w:p>
    <w:bookmarkEnd w:id="0"/>
    <w:p w:rsidR="00FE79B8" w:rsidRDefault="00FE79B8" w:rsidP="00FE79B8">
      <w:pPr>
        <w:pStyle w:val="Zkladntext"/>
      </w:pPr>
      <w:r>
        <w:rPr>
          <w:noProof/>
          <w:lang w:val="cs-CZ"/>
        </w:rPr>
        <w:drawing>
          <wp:inline distT="0" distB="0" distL="0" distR="0" wp14:anchorId="075B32C7" wp14:editId="50B7A6ED">
            <wp:extent cx="3556660" cy="3868338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1057" cy="38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9B8" w:rsidSect="00C94C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7C" w:rsidRDefault="00E3167C">
      <w:r>
        <w:separator/>
      </w:r>
    </w:p>
  </w:endnote>
  <w:endnote w:type="continuationSeparator" w:id="0">
    <w:p w:rsidR="00E3167C" w:rsidRDefault="00E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7C" w:rsidRDefault="00E3167C">
      <w:r>
        <w:separator/>
      </w:r>
    </w:p>
  </w:footnote>
  <w:footnote w:type="continuationSeparator" w:id="0">
    <w:p w:rsidR="00E3167C" w:rsidRDefault="00E3167C">
      <w:r>
        <w:continuationSeparator/>
      </w:r>
    </w:p>
  </w:footnote>
  <w:footnote w:id="1">
    <w:p w:rsidR="002B72C4" w:rsidRDefault="002B72C4" w:rsidP="002B72C4">
      <w:pPr>
        <w:pStyle w:val="Textpoznpodarou"/>
      </w:pPr>
      <w:r>
        <w:rPr>
          <w:rStyle w:val="Znakapoznpodarou"/>
        </w:rPr>
        <w:t>*</w:t>
      </w:r>
      <w:r>
        <w:t xml:space="preserve"> Academic degree Name Surname; full contact address, </w:t>
      </w:r>
      <w:hyperlink r:id="rId1" w:history="1">
        <w:r w:rsidR="00C56F44" w:rsidRPr="00C56F44">
          <w:t>e-mail@xxx.cz</w:t>
        </w:r>
      </w:hyperlink>
      <w:r>
        <w:t>.</w:t>
      </w:r>
      <w:r w:rsidR="00C56F44">
        <w:t xml:space="preserve"> (</w:t>
      </w:r>
      <w:r w:rsidR="00C56F44" w:rsidRPr="00C56F44">
        <w:t xml:space="preserve">doc. Ing. Pavel Novák, Ph.D.; </w:t>
      </w:r>
      <w:r w:rsidR="009112D0">
        <w:t>Department of Public Finance Faculty of Finance and Accounting,</w:t>
      </w:r>
      <w:r w:rsidR="00C56F44" w:rsidRPr="00C56F44">
        <w:t xml:space="preserve"> </w:t>
      </w:r>
      <w:r w:rsidR="009112D0">
        <w:t>University of Economics, Prague</w:t>
      </w:r>
      <w:r w:rsidR="00C56F44" w:rsidRPr="00C56F44">
        <w:t xml:space="preserve">, </w:t>
      </w:r>
      <w:r w:rsidR="009112D0">
        <w:t>W. Churchill Sq. 4</w:t>
      </w:r>
      <w:r w:rsidR="00C56F44" w:rsidRPr="00C56F44">
        <w:t xml:space="preserve">, </w:t>
      </w:r>
      <w:r w:rsidR="009112D0">
        <w:t>130 67 Prague</w:t>
      </w:r>
      <w:r w:rsidR="00C56F44" w:rsidRPr="00C56F44">
        <w:t>, Czech Republic, pavel.novak@</w:t>
      </w:r>
      <w:r w:rsidR="009112D0">
        <w:t>vse</w:t>
      </w:r>
      <w:r w:rsidR="00C56F44" w:rsidRPr="00C56F44">
        <w:t>.cz</w:t>
      </w:r>
      <w:r w:rsidR="00C56F44">
        <w:t>)</w:t>
      </w:r>
    </w:p>
  </w:footnote>
  <w:footnote w:id="2">
    <w:p w:rsidR="002B72C4" w:rsidRDefault="002B72C4" w:rsidP="002B72C4">
      <w:pPr>
        <w:pStyle w:val="Textpoznpodarou"/>
      </w:pPr>
      <w:r>
        <w:rPr>
          <w:rStyle w:val="Znakapoznpodarou"/>
        </w:rPr>
        <w:t>**</w:t>
      </w:r>
      <w:r>
        <w:t xml:space="preserve"> Academic degree Name Surname; full contact address, e-mail@xxx.cz.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382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822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741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68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98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E6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2B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41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6DC6DE2"/>
    <w:lvl w:ilvl="0">
      <w:start w:val="1"/>
      <w:numFmt w:val="bullet"/>
      <w:pStyle w:val="Seznamsodrkami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</w:rPr>
    </w:lvl>
  </w:abstractNum>
  <w:abstractNum w:abstractNumId="9" w15:restartNumberingAfterBreak="0">
    <w:nsid w:val="05966DAE"/>
    <w:multiLevelType w:val="multilevel"/>
    <w:tmpl w:val="0B8E86F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D4C5F6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94D4D8E"/>
    <w:multiLevelType w:val="multilevel"/>
    <w:tmpl w:val="0C30CF10"/>
    <w:styleLink w:val="HeadingNumber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0D67851"/>
    <w:multiLevelType w:val="multilevel"/>
    <w:tmpl w:val="E792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F7581"/>
    <w:multiLevelType w:val="multilevel"/>
    <w:tmpl w:val="E792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322C44"/>
    <w:multiLevelType w:val="hybridMultilevel"/>
    <w:tmpl w:val="C6CAB1FA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5E0653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EC87015"/>
    <w:multiLevelType w:val="multilevel"/>
    <w:tmpl w:val="E792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7FC7782"/>
    <w:multiLevelType w:val="multilevel"/>
    <w:tmpl w:val="F77E57D2"/>
    <w:lvl w:ilvl="0">
      <w:start w:val="1"/>
      <w:numFmt w:val="decimal"/>
      <w:pStyle w:val="slovanseznam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07"/>
        </w:tabs>
        <w:ind w:left="607" w:hanging="5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6572D06"/>
    <w:multiLevelType w:val="multilevel"/>
    <w:tmpl w:val="47B8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13"/>
  </w:num>
  <w:num w:numId="18">
    <w:abstractNumId w:val="19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7"/>
    <w:rsid w:val="000653F8"/>
    <w:rsid w:val="000C06FC"/>
    <w:rsid w:val="00111355"/>
    <w:rsid w:val="00114378"/>
    <w:rsid w:val="00125467"/>
    <w:rsid w:val="00141749"/>
    <w:rsid w:val="00162AA8"/>
    <w:rsid w:val="00185A7A"/>
    <w:rsid w:val="001B58EF"/>
    <w:rsid w:val="001F2A96"/>
    <w:rsid w:val="00214C3C"/>
    <w:rsid w:val="00216FD2"/>
    <w:rsid w:val="0026423F"/>
    <w:rsid w:val="002B72C4"/>
    <w:rsid w:val="003054EA"/>
    <w:rsid w:val="00346DBB"/>
    <w:rsid w:val="00363B76"/>
    <w:rsid w:val="003A26A7"/>
    <w:rsid w:val="003C7589"/>
    <w:rsid w:val="003D01DD"/>
    <w:rsid w:val="003F6626"/>
    <w:rsid w:val="004458FC"/>
    <w:rsid w:val="004732FF"/>
    <w:rsid w:val="00493190"/>
    <w:rsid w:val="004A133D"/>
    <w:rsid w:val="004C197D"/>
    <w:rsid w:val="004E2F6C"/>
    <w:rsid w:val="004F4ABA"/>
    <w:rsid w:val="00517A0B"/>
    <w:rsid w:val="0052403C"/>
    <w:rsid w:val="00525330"/>
    <w:rsid w:val="00550358"/>
    <w:rsid w:val="00557D23"/>
    <w:rsid w:val="005618C6"/>
    <w:rsid w:val="00582BAE"/>
    <w:rsid w:val="005A08A8"/>
    <w:rsid w:val="005A428E"/>
    <w:rsid w:val="005E1F51"/>
    <w:rsid w:val="00603813"/>
    <w:rsid w:val="006A563B"/>
    <w:rsid w:val="006C0D05"/>
    <w:rsid w:val="006C26FD"/>
    <w:rsid w:val="006D67D4"/>
    <w:rsid w:val="00724CCD"/>
    <w:rsid w:val="00791CE2"/>
    <w:rsid w:val="007A3D78"/>
    <w:rsid w:val="008045BB"/>
    <w:rsid w:val="00830370"/>
    <w:rsid w:val="00844CA5"/>
    <w:rsid w:val="00870769"/>
    <w:rsid w:val="008D70B3"/>
    <w:rsid w:val="009056E5"/>
    <w:rsid w:val="009112D0"/>
    <w:rsid w:val="0093439A"/>
    <w:rsid w:val="00935FDF"/>
    <w:rsid w:val="00A02F6A"/>
    <w:rsid w:val="00A72CD5"/>
    <w:rsid w:val="00A82A32"/>
    <w:rsid w:val="00A85E01"/>
    <w:rsid w:val="00B33CD0"/>
    <w:rsid w:val="00B618DE"/>
    <w:rsid w:val="00B61A74"/>
    <w:rsid w:val="00B679B1"/>
    <w:rsid w:val="00B74D4F"/>
    <w:rsid w:val="00B77C83"/>
    <w:rsid w:val="00B8768F"/>
    <w:rsid w:val="00BE38F4"/>
    <w:rsid w:val="00BE457A"/>
    <w:rsid w:val="00BF3102"/>
    <w:rsid w:val="00C56F44"/>
    <w:rsid w:val="00C65AA8"/>
    <w:rsid w:val="00C94C83"/>
    <w:rsid w:val="00CA0B4F"/>
    <w:rsid w:val="00CA352C"/>
    <w:rsid w:val="00CF49BF"/>
    <w:rsid w:val="00D05012"/>
    <w:rsid w:val="00D5321A"/>
    <w:rsid w:val="00D57E97"/>
    <w:rsid w:val="00DF1E27"/>
    <w:rsid w:val="00E01DCB"/>
    <w:rsid w:val="00E3167C"/>
    <w:rsid w:val="00E65AA9"/>
    <w:rsid w:val="00E77D92"/>
    <w:rsid w:val="00E83519"/>
    <w:rsid w:val="00E85D2A"/>
    <w:rsid w:val="00EB1B9F"/>
    <w:rsid w:val="00EB1BDE"/>
    <w:rsid w:val="00EB5C5F"/>
    <w:rsid w:val="00F367EA"/>
    <w:rsid w:val="00F9412C"/>
    <w:rsid w:val="00FC4BC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E2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1749"/>
    <w:rPr>
      <w:szCs w:val="24"/>
      <w:lang w:val="en-US"/>
    </w:rPr>
  </w:style>
  <w:style w:type="paragraph" w:styleId="Nadpis1">
    <w:name w:val="heading 1"/>
    <w:basedOn w:val="Normln"/>
    <w:next w:val="Normln"/>
    <w:qFormat/>
    <w:rsid w:val="00214C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214C3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EB1BD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618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Author"/>
    <w:qFormat/>
    <w:rsid w:val="00E835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uthor">
    <w:name w:val="Author"/>
    <w:basedOn w:val="Articlehead"/>
    <w:qFormat/>
    <w:rsid w:val="00B74D4F"/>
    <w:pPr>
      <w:jc w:val="center"/>
    </w:pPr>
    <w:rPr>
      <w:sz w:val="24"/>
    </w:rPr>
  </w:style>
  <w:style w:type="paragraph" w:customStyle="1" w:styleId="Articlehead">
    <w:name w:val="Article head"/>
    <w:basedOn w:val="Normln"/>
    <w:rsid w:val="00D5321A"/>
    <w:pPr>
      <w:ind w:left="1134" w:right="1134"/>
      <w:jc w:val="both"/>
    </w:pPr>
  </w:style>
  <w:style w:type="character" w:customStyle="1" w:styleId="AbstractHeader">
    <w:name w:val="Abstract Header"/>
    <w:basedOn w:val="Standardnpsmoodstavce"/>
    <w:qFormat/>
    <w:rsid w:val="00216FD2"/>
    <w:rPr>
      <w:b/>
    </w:rPr>
  </w:style>
  <w:style w:type="paragraph" w:customStyle="1" w:styleId="Abstract">
    <w:name w:val="Abstract"/>
    <w:basedOn w:val="Articlehead"/>
    <w:qFormat/>
    <w:rsid w:val="00216FD2"/>
    <w:pPr>
      <w:spacing w:before="120"/>
      <w:contextualSpacing/>
    </w:pPr>
  </w:style>
  <w:style w:type="paragraph" w:customStyle="1" w:styleId="Keywords">
    <w:name w:val="Keywords"/>
    <w:basedOn w:val="Articlehead"/>
    <w:qFormat/>
    <w:rsid w:val="00363B76"/>
    <w:pPr>
      <w:spacing w:before="120" w:after="120"/>
      <w:contextualSpacing/>
    </w:pPr>
  </w:style>
  <w:style w:type="character" w:customStyle="1" w:styleId="KeywordsJELHeader">
    <w:name w:val="Keywords+JEL Header"/>
    <w:basedOn w:val="Standardnpsmoodstavce"/>
    <w:qFormat/>
    <w:rsid w:val="00E01DCB"/>
    <w:rPr>
      <w:b/>
    </w:rPr>
  </w:style>
  <w:style w:type="numbering" w:customStyle="1" w:styleId="HeadingNumbers">
    <w:name w:val="Heading Numbers"/>
    <w:basedOn w:val="Bezseznamu"/>
    <w:rsid w:val="005A428E"/>
    <w:pPr>
      <w:numPr>
        <w:numId w:val="15"/>
      </w:numPr>
    </w:pPr>
  </w:style>
  <w:style w:type="paragraph" w:styleId="Zkladntext">
    <w:name w:val="Body Text"/>
    <w:basedOn w:val="Normln"/>
    <w:link w:val="ZkladntextChar"/>
    <w:unhideWhenUsed/>
    <w:qFormat/>
    <w:rsid w:val="00185A7A"/>
    <w:pPr>
      <w:spacing w:before="60" w:after="60"/>
      <w:ind w:firstLine="301"/>
    </w:pPr>
  </w:style>
  <w:style w:type="character" w:customStyle="1" w:styleId="ZkladntextChar">
    <w:name w:val="Základní text Char"/>
    <w:basedOn w:val="Standardnpsmoodstavce"/>
    <w:link w:val="Zkladntext"/>
    <w:rsid w:val="00185A7A"/>
    <w:rPr>
      <w:szCs w:val="24"/>
      <w:lang w:val="en-US"/>
    </w:rPr>
  </w:style>
  <w:style w:type="paragraph" w:styleId="Bibliografie">
    <w:name w:val="Bibliography"/>
    <w:basedOn w:val="Normln"/>
    <w:next w:val="Normln"/>
    <w:uiPriority w:val="37"/>
    <w:unhideWhenUsed/>
    <w:rsid w:val="00B618DE"/>
  </w:style>
  <w:style w:type="character" w:styleId="Siln">
    <w:name w:val="Strong"/>
    <w:aliases w:val="Table First Row"/>
    <w:basedOn w:val="Standardnpsmoodstavce"/>
    <w:qFormat/>
    <w:rsid w:val="00EB1BDE"/>
    <w:rPr>
      <w:b/>
      <w:bCs/>
    </w:rPr>
  </w:style>
  <w:style w:type="paragraph" w:styleId="Seznamsodrkami">
    <w:name w:val="List Bullet"/>
    <w:basedOn w:val="Normln"/>
    <w:qFormat/>
    <w:rsid w:val="00BE38F4"/>
    <w:pPr>
      <w:numPr>
        <w:numId w:val="6"/>
      </w:numPr>
    </w:pPr>
  </w:style>
  <w:style w:type="paragraph" w:styleId="slovanseznam">
    <w:name w:val="List Number"/>
    <w:basedOn w:val="Normln"/>
    <w:qFormat/>
    <w:rsid w:val="00BE38F4"/>
    <w:pPr>
      <w:numPr>
        <w:numId w:val="1"/>
      </w:numPr>
    </w:pPr>
  </w:style>
  <w:style w:type="paragraph" w:customStyle="1" w:styleId="CenteredObject">
    <w:name w:val="Centered Object"/>
    <w:basedOn w:val="Normln"/>
    <w:qFormat/>
    <w:rsid w:val="005618C6"/>
    <w:pPr>
      <w:spacing w:before="120" w:after="120"/>
      <w:jc w:val="center"/>
    </w:pPr>
    <w:rPr>
      <w:b/>
    </w:rPr>
  </w:style>
  <w:style w:type="paragraph" w:styleId="Titulek">
    <w:name w:val="caption"/>
    <w:basedOn w:val="CenteredObject"/>
    <w:next w:val="Normln"/>
    <w:qFormat/>
    <w:rsid w:val="00791CE2"/>
    <w:rPr>
      <w:bCs/>
      <w:szCs w:val="20"/>
    </w:rPr>
  </w:style>
  <w:style w:type="character" w:customStyle="1" w:styleId="CaptionHeader">
    <w:name w:val="Caption Header"/>
    <w:basedOn w:val="Standardnpsmoodstavce"/>
    <w:rsid w:val="005618C6"/>
    <w:rPr>
      <w:rFonts w:ascii="Times New Roman" w:hAnsi="Times New Roman"/>
      <w:b/>
      <w:dstrike w:val="0"/>
      <w:sz w:val="20"/>
      <w:vertAlign w:val="baseline"/>
    </w:rPr>
  </w:style>
  <w:style w:type="paragraph" w:customStyle="1" w:styleId="EquationNumber">
    <w:name w:val="Equation Number"/>
    <w:basedOn w:val="CenteredObject"/>
    <w:rsid w:val="00EB1B9F"/>
    <w:pPr>
      <w:jc w:val="right"/>
    </w:pPr>
  </w:style>
  <w:style w:type="paragraph" w:customStyle="1" w:styleId="Tablecenteredtext">
    <w:name w:val="Table centered text"/>
    <w:basedOn w:val="Normln"/>
    <w:qFormat/>
    <w:rsid w:val="008045BB"/>
    <w:pPr>
      <w:jc w:val="center"/>
    </w:pPr>
  </w:style>
  <w:style w:type="character" w:customStyle="1" w:styleId="TheoremHeader">
    <w:name w:val="Theorem Header"/>
    <w:basedOn w:val="Standardnpsmoodstavce"/>
    <w:rsid w:val="005E1F51"/>
    <w:rPr>
      <w:b/>
      <w:i/>
    </w:rPr>
  </w:style>
  <w:style w:type="paragraph" w:customStyle="1" w:styleId="Proof">
    <w:name w:val="Proof"/>
    <w:basedOn w:val="Normln"/>
    <w:link w:val="ProofChar"/>
    <w:rsid w:val="00214C3C"/>
    <w:pPr>
      <w:spacing w:before="120"/>
      <w:jc w:val="both"/>
    </w:pPr>
  </w:style>
  <w:style w:type="character" w:customStyle="1" w:styleId="ProofChar">
    <w:name w:val="Proof Char"/>
    <w:basedOn w:val="Standardnpsmoodstavce"/>
    <w:link w:val="Proof"/>
    <w:rsid w:val="00214C3C"/>
    <w:rPr>
      <w:szCs w:val="24"/>
      <w:lang w:val="en-US" w:eastAsia="cs-CZ" w:bidi="ar-SA"/>
    </w:rPr>
  </w:style>
  <w:style w:type="character" w:customStyle="1" w:styleId="ProofHeader">
    <w:name w:val="Proof Header"/>
    <w:basedOn w:val="ProofChar"/>
    <w:rsid w:val="005E1F51"/>
    <w:rPr>
      <w:i/>
      <w:szCs w:val="24"/>
      <w:lang w:val="en-US" w:eastAsia="cs-CZ" w:bidi="ar-SA"/>
    </w:rPr>
  </w:style>
  <w:style w:type="paragraph" w:customStyle="1" w:styleId="Theorem">
    <w:name w:val="Theorem"/>
    <w:basedOn w:val="Normln"/>
    <w:rsid w:val="00214C3C"/>
    <w:pPr>
      <w:spacing w:before="120"/>
      <w:jc w:val="both"/>
    </w:pPr>
    <w:rPr>
      <w:i/>
    </w:rPr>
  </w:style>
  <w:style w:type="character" w:customStyle="1" w:styleId="TheoremName">
    <w:name w:val="Theorem Name"/>
    <w:basedOn w:val="Standardnpsmoodstavce"/>
    <w:rsid w:val="004E2F6C"/>
    <w:rPr>
      <w:i/>
    </w:rPr>
  </w:style>
  <w:style w:type="paragraph" w:customStyle="1" w:styleId="Example">
    <w:name w:val="Example"/>
    <w:basedOn w:val="Normln"/>
    <w:rsid w:val="00214C3C"/>
    <w:pPr>
      <w:spacing w:before="120"/>
      <w:jc w:val="both"/>
    </w:pPr>
  </w:style>
  <w:style w:type="character" w:customStyle="1" w:styleId="ExampleHeader">
    <w:name w:val="Example Header"/>
    <w:basedOn w:val="Standardnpsmoodstavce"/>
    <w:rsid w:val="004E2F6C"/>
    <w:rPr>
      <w:b/>
    </w:rPr>
  </w:style>
  <w:style w:type="paragraph" w:customStyle="1" w:styleId="Remark">
    <w:name w:val="Remark"/>
    <w:basedOn w:val="Normln"/>
    <w:rsid w:val="00214C3C"/>
    <w:pPr>
      <w:spacing w:before="120"/>
      <w:jc w:val="both"/>
    </w:pPr>
  </w:style>
  <w:style w:type="character" w:customStyle="1" w:styleId="RemarkHeader">
    <w:name w:val="Remark Header"/>
    <w:basedOn w:val="Standardnpsmoodstavce"/>
    <w:rsid w:val="004E2F6C"/>
    <w:rPr>
      <w:b/>
    </w:rPr>
  </w:style>
  <w:style w:type="paragraph" w:customStyle="1" w:styleId="Acknowledgements">
    <w:name w:val="Acknowledgements"/>
    <w:basedOn w:val="Nadpis2"/>
    <w:next w:val="Normln"/>
    <w:qFormat/>
    <w:rsid w:val="0052403C"/>
  </w:style>
  <w:style w:type="paragraph" w:customStyle="1" w:styleId="ReferencesHeader">
    <w:name w:val="References Header"/>
    <w:basedOn w:val="Nadpis2"/>
    <w:next w:val="Seznamcitac"/>
    <w:qFormat/>
    <w:rsid w:val="0052403C"/>
  </w:style>
  <w:style w:type="paragraph" w:styleId="Textpoznpodarou">
    <w:name w:val="footnote text"/>
    <w:basedOn w:val="Normln"/>
    <w:semiHidden/>
    <w:qFormat/>
    <w:rsid w:val="00363B76"/>
    <w:rPr>
      <w:szCs w:val="20"/>
    </w:rPr>
  </w:style>
  <w:style w:type="paragraph" w:styleId="Seznamcitac">
    <w:name w:val="table of authorities"/>
    <w:basedOn w:val="Normln"/>
    <w:semiHidden/>
    <w:rsid w:val="0052403C"/>
    <w:pPr>
      <w:numPr>
        <w:numId w:val="17"/>
      </w:numPr>
    </w:pPr>
  </w:style>
  <w:style w:type="character" w:styleId="Znakapoznpodarou">
    <w:name w:val="footnote reference"/>
    <w:basedOn w:val="Standardnpsmoodstavce"/>
    <w:semiHidden/>
    <w:qFormat/>
    <w:rsid w:val="005A08A8"/>
    <w:rPr>
      <w:vertAlign w:val="baseline"/>
    </w:rPr>
  </w:style>
  <w:style w:type="paragraph" w:customStyle="1" w:styleId="Classifications">
    <w:name w:val="Classifications"/>
    <w:basedOn w:val="Keywords"/>
    <w:qFormat/>
    <w:rsid w:val="00363B76"/>
  </w:style>
  <w:style w:type="paragraph" w:styleId="Zhlav">
    <w:name w:val="header"/>
    <w:basedOn w:val="Normln"/>
    <w:link w:val="ZhlavChar"/>
    <w:rsid w:val="00557D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7D23"/>
    <w:rPr>
      <w:szCs w:val="24"/>
      <w:lang w:val="en-US"/>
    </w:rPr>
  </w:style>
  <w:style w:type="paragraph" w:styleId="Zpat">
    <w:name w:val="footer"/>
    <w:basedOn w:val="Normln"/>
    <w:link w:val="ZpatChar"/>
    <w:rsid w:val="00557D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D23"/>
    <w:rPr>
      <w:szCs w:val="24"/>
      <w:lang w:val="en-US"/>
    </w:rPr>
  </w:style>
  <w:style w:type="paragraph" w:styleId="Textbubliny">
    <w:name w:val="Balloon Text"/>
    <w:basedOn w:val="Normln"/>
    <w:link w:val="TextbublinyChar"/>
    <w:rsid w:val="00E83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519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rsid w:val="00C56F44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5618C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paragraph" w:customStyle="1" w:styleId="Odstavecpodgraf">
    <w:name w:val="Odstavec pod graf"/>
    <w:basedOn w:val="Normln"/>
    <w:qFormat/>
    <w:rsid w:val="005618C6"/>
    <w:pPr>
      <w:spacing w:before="120" w:after="120"/>
      <w:jc w:val="center"/>
    </w:pPr>
    <w:rPr>
      <w:szCs w:val="20"/>
    </w:rPr>
  </w:style>
  <w:style w:type="paragraph" w:customStyle="1" w:styleId="Formula-notes">
    <w:name w:val="Formula - notes"/>
    <w:basedOn w:val="Normln"/>
    <w:qFormat/>
    <w:rsid w:val="006C26FD"/>
    <w:pPr>
      <w:jc w:val="both"/>
    </w:pPr>
    <w:rPr>
      <w:sz w:val="22"/>
      <w:szCs w:val="20"/>
      <w:lang w:val="en-GB"/>
    </w:rPr>
  </w:style>
  <w:style w:type="paragraph" w:styleId="Odstavecseseznamem">
    <w:name w:val="List Paragraph"/>
    <w:basedOn w:val="Normln"/>
    <w:uiPriority w:val="34"/>
    <w:rsid w:val="006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469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87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905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ingentaconnect.com/contentone/mohr/fa/2018/00000074/00000001/art0000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ber.org/papers/w2240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@xxx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a\Downloads\TPAVF_sample2012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9165009940358"/>
          <c:y val="8.1570996978852214E-2"/>
          <c:w val="0.73956262425447361"/>
          <c:h val="0.770392749244712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List1!$B$2:$B$11</c:f>
              <c:numCache>
                <c:formatCode>General</c:formatCode>
                <c:ptCount val="10"/>
                <c:pt idx="0">
                  <c:v>61.64</c:v>
                </c:pt>
                <c:pt idx="1">
                  <c:v>79.410000000000025</c:v>
                </c:pt>
                <c:pt idx="2">
                  <c:v>79.410000000000025</c:v>
                </c:pt>
                <c:pt idx="3">
                  <c:v>87.2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0D-44A1-BDE2-F73937A5999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00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List1!$C$2:$C$11</c:f>
              <c:numCache>
                <c:formatCode>General</c:formatCode>
                <c:ptCount val="10"/>
                <c:pt idx="0">
                  <c:v>38.36</c:v>
                </c:pt>
                <c:pt idx="1">
                  <c:v>20.59</c:v>
                </c:pt>
                <c:pt idx="2">
                  <c:v>20.59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0D-44A1-BDE2-F73937A5999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0D-44A1-BDE2-F73937A59993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0D-44A1-BDE2-F73937A59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4083688"/>
        <c:axId val="304084080"/>
      </c:barChart>
      <c:catAx>
        <c:axId val="304083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408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4084080"/>
        <c:scaling>
          <c:orientation val="minMax"/>
        </c:scaling>
        <c:delete val="0"/>
        <c:axPos val="b"/>
        <c:majorGridlines>
          <c:spPr>
            <a:ln w="3177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4083688"/>
        <c:crosses val="autoZero"/>
        <c:crossBetween val="between"/>
        <c:majorUnit val="0.1"/>
      </c:valAx>
      <c:spPr>
        <a:solidFill>
          <a:srgbClr val="FFFFFF"/>
        </a:solidFill>
        <a:ln w="127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059642147117291"/>
          <c:y val="0.37764350453172174"/>
          <c:w val="5.7654075546719703E-2"/>
          <c:h val="0.25679758308157075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45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9165009940358"/>
          <c:y val="8.1570996978852214E-2"/>
          <c:w val="0.73956262425447361"/>
          <c:h val="0.770392749244712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List1!$B$2:$B$11</c:f>
              <c:numCache>
                <c:formatCode>General</c:formatCode>
                <c:ptCount val="10"/>
                <c:pt idx="0">
                  <c:v>61.64</c:v>
                </c:pt>
                <c:pt idx="1">
                  <c:v>79.410000000000025</c:v>
                </c:pt>
                <c:pt idx="2">
                  <c:v>79.410000000000025</c:v>
                </c:pt>
                <c:pt idx="3">
                  <c:v>87.2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2-4258-83A6-AEA282522CF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00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List1!$C$2:$C$11</c:f>
              <c:numCache>
                <c:formatCode>General</c:formatCode>
                <c:ptCount val="10"/>
                <c:pt idx="0">
                  <c:v>38.36</c:v>
                </c:pt>
                <c:pt idx="1">
                  <c:v>20.59</c:v>
                </c:pt>
                <c:pt idx="2">
                  <c:v>20.59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52-4258-83A6-AEA282522CF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52-4258-83A6-AEA282522CF5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52-4258-83A6-AEA282522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3892248"/>
        <c:axId val="303891072"/>
      </c:barChart>
      <c:catAx>
        <c:axId val="303892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389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3891072"/>
        <c:scaling>
          <c:orientation val="minMax"/>
        </c:scaling>
        <c:delete val="0"/>
        <c:axPos val="b"/>
        <c:majorGridlines>
          <c:spPr>
            <a:ln w="3177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3892248"/>
        <c:crosses val="autoZero"/>
        <c:crossBetween val="between"/>
        <c:majorUnit val="0.1"/>
      </c:valAx>
      <c:spPr>
        <a:solidFill>
          <a:srgbClr val="FFFFFF"/>
        </a:solidFill>
        <a:ln w="127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059642147117291"/>
          <c:y val="0.37764350453172174"/>
          <c:w val="5.7654075546719703E-2"/>
          <c:h val="0.25679758308157075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45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0.399</cdr:x>
      <cdr:y>0.48</cdr:y>
    </cdr:from>
    <cdr:to>
      <cdr:x>0.43825</cdr:x>
      <cdr:y>0.5385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639" y="1513332"/>
          <a:ext cx="188050" cy="184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1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0.399</cdr:x>
      <cdr:y>0.48</cdr:y>
    </cdr:from>
    <cdr:to>
      <cdr:x>0.43825</cdr:x>
      <cdr:y>0.5385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639" y="1513332"/>
          <a:ext cx="188050" cy="184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1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8267-9F04-4251-9D2A-DB9C6828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TPAVF_sample2012.dotx</Template>
  <TotalTime>0</TotalTime>
  <Pages>4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2019-02-05T17:00:00Z</dcterms:created>
  <dcterms:modified xsi:type="dcterms:W3CDTF">2019-02-05T17:03:00Z</dcterms:modified>
</cp:coreProperties>
</file>